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jc w:val="center"/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sz w:val="28"/>
          <w:szCs w:val="28"/>
        </w:rPr>
      </w:pPr>
      <w:r>
        <w:rPr>
          <w:rFonts w:cs="Calibri" w:hint="eastAsia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sz w:val="28"/>
          <w:szCs w:val="28"/>
        </w:rPr>
      </w:pPr>
      <w:r>
        <w:rPr>
          <w:rFonts w:cs="Calibri" w:hint="eastAsia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bCs/>
          <w:sz w:val="28"/>
          <w:szCs w:val="28"/>
        </w:rPr>
      </w:pPr>
      <w:r>
        <w:rPr>
          <w:rFonts w:cs="Calibri" w:hint="eastAsia" w:ascii="Cambria" w:hAnsi="Cambria"/>
          <w:b/>
          <w:bCs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bCs/>
          <w:sz w:val="28"/>
          <w:szCs w:val="28"/>
        </w:rPr>
      </w:pPr>
      <w:r>
        <w:rPr>
          <w:rFonts w:cs="Calibri" w:hint="eastAsia" w:ascii="Cambria" w:hAnsi="Cambria"/>
          <w:b/>
          <w:bCs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bCs/>
          <w:sz w:val="28"/>
          <w:szCs w:val="28"/>
        </w:rPr>
      </w:pPr>
      <w:r>
        <w:rPr>
          <w:rFonts w:cs="Calibri" w:hint="eastAsia" w:ascii="Cambria" w:hAnsi="Cambria"/>
          <w:b/>
          <w:bCs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bCs/>
          <w:sz w:val="28"/>
          <w:szCs w:val="28"/>
        </w:rPr>
      </w:pPr>
      <w:r>
        <w:rPr>
          <w:rFonts w:cs="Calibri" w:hint="eastAsia" w:ascii="Cambria" w:hAnsi="Cambria"/>
          <w:b/>
          <w:bCs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bCs/>
          <w:sz w:val="28"/>
          <w:szCs w:val="28"/>
        </w:rPr>
      </w:pPr>
      <w:r>
        <w:rPr>
          <w:rFonts w:cs="Calibri" w:hint="eastAsia" w:ascii="Cambria" w:hAnsi="Cambria"/>
          <w:b/>
          <w:bCs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bCs/>
          <w:sz w:val="28"/>
          <w:szCs w:val="28"/>
        </w:rPr>
      </w:pPr>
      <w:r>
        <w:rPr>
          <w:rFonts w:cs="Calibri" w:hint="eastAsia" w:ascii="Cambria" w:hAnsi="Cambria"/>
          <w:b/>
          <w:bCs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bCs/>
          <w:sz w:val="28"/>
          <w:szCs w:val="28"/>
        </w:rPr>
      </w:pPr>
      <w:r>
        <w:rPr>
          <w:rFonts w:cs="Calibri" w:hint="eastAsia" w:ascii="Cambria" w:hAnsi="Cambria"/>
          <w:b/>
          <w:bCs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bCs/>
          <w:sz w:val="28"/>
          <w:szCs w:val="28"/>
        </w:rPr>
      </w:pPr>
      <w:r>
        <w:rPr>
          <w:rFonts w:cs="Calibri" w:hint="eastAsia" w:ascii="Cambria" w:hAnsi="Cambria"/>
          <w:b/>
          <w:bCs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bCs/>
          <w:sz w:val="28"/>
          <w:szCs w:val="28"/>
        </w:rPr>
      </w:pPr>
      <w:r>
        <w:rPr>
          <w:rFonts w:cs="Calibri" w:hint="eastAsia" w:ascii="Cambria" w:hAnsi="Cambria"/>
          <w:b/>
          <w:bCs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sz w:val="28"/>
          <w:szCs w:val="28"/>
        </w:rPr>
      </w:pPr>
      <w:r>
        <w:rPr>
          <w:rFonts w:cs="Calibri" w:hint="eastAsia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  <w:t>TERMO DE REFERÊNCIA PARA ELABORAÇÃO DE</w:t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  <w:t>LAUDO DE COBERTURA VEGETAL – LCV</w:t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sz w:val="28"/>
          <w:szCs w:val="28"/>
        </w:rPr>
      </w:pPr>
      <w:r>
        <w:rPr>
          <w:rFonts w:cs="Calibri" w:hint="eastAsia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  <w:t>CAMPO BOM - RS</w:t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 w:hint="eastAsia"/>
          <w:sz w:val="24"/>
          <w:szCs w:val="24"/>
        </w:rPr>
      </w:pPr>
      <w:r>
        <w:rPr>
          <w:rFonts w:cs="Calibri" w:hint="eastAsia" w:ascii="Cambria" w:hAnsi="Cambria"/>
          <w:sz w:val="24"/>
          <w:szCs w:val="24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ascii="Cambria" w:hAnsi="Cambria"/>
        </w:rPr>
        <w:tab/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TOCHeading"/>
        <w:spacing w:lineRule="auto" w:line="360"/>
        <w:jc w:val="center"/>
        <w:rPr>
          <w:rFonts w:ascii="Cambria" w:hAnsi="Cambria" w:hint="eastAsia"/>
          <w:lang w:val="pt-BR"/>
        </w:rPr>
      </w:pPr>
      <w:r>
        <w:rPr>
          <w:rFonts w:ascii="Cambria" w:hAnsi="Cambria"/>
          <w:lang w:val="pt-BR"/>
        </w:rPr>
        <w:t>ÍNDICE</w:t>
      </w:r>
    </w:p>
    <w:p>
      <w:pPr>
        <w:pStyle w:val="Normal"/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rPr>
          <w:rFonts w:ascii="Cambria" w:hAnsi="Cambria" w:hint="eastAsia"/>
          <w:sz w:val="24"/>
          <w:szCs w:val="24"/>
        </w:rPr>
      </w:pPr>
      <w:r>
        <w:rPr>
          <w:rFonts w:hint="eastAsia" w:ascii="Cambria" w:hAnsi="Cambria"/>
          <w:sz w:val="24"/>
          <w:szCs w:val="24"/>
        </w:rPr>
      </w:r>
    </w:p>
    <w:p>
      <w:pPr>
        <w:pStyle w:val="TOC3"/>
        <w:tabs>
          <w:tab w:val="clear" w:pos="1100"/>
          <w:tab w:val="right" w:pos="9213" w:leader="dot"/>
        </w:tabs>
        <w:rPr>
          <w:rFonts w:ascii="Cambria" w:hAnsi="Cambria" w:cs="Cambria" w:hint="eastAsia"/>
        </w:rPr>
      </w:pPr>
      <w:r>
        <w:rPr>
          <w:rFonts w:eastAsia="Cambria" w:cs="Cambria" w:ascii="Cambria" w:hAnsi="Cambria"/>
          <w:b/>
        </w:rPr>
        <w:t xml:space="preserve">     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rPr/>
          </w:pPr>
          <w:r>
            <w:fldChar w:fldCharType="begin"/>
          </w:r>
          <w:r>
            <w:rPr>
              <w:rFonts w:eastAsia="Cambria" w:cs="Cambria" w:ascii="Cambria" w:hAnsi="Cambria"/>
              <w:sz w:val="24"/>
              <w:szCs w:val="24"/>
            </w:rPr>
            <w:instrText xml:space="preserve"> TOC \z \o "1-1" \u \h</w:instrText>
          </w:r>
          <w:r>
            <w:rPr>
              <w:rFonts w:eastAsia="Cambria" w:cs="Cambria" w:ascii="Cambria" w:hAnsi="Cambria"/>
              <w:sz w:val="24"/>
              <w:szCs w:val="24"/>
            </w:rPr>
            <w:fldChar w:fldCharType="separate"/>
          </w:r>
          <w:r>
            <w:rPr>
              <w:rFonts w:eastAsia="Cambria" w:cs="Cambria" w:ascii="Cambria" w:hAnsi="Cambria"/>
              <w:sz w:val="24"/>
              <w:szCs w:val="24"/>
            </w:rPr>
            <w:t>PREFÁCIO:</w:t>
            <w:tab/>
          </w:r>
          <w:r>
            <w:rPr/>
            <w:t>3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mbria" w:hAnsi="Cambria" w:cs="Cambria" w:hint="eastAsia"/>
            </w:rPr>
          </w:pPr>
          <w:r>
            <w:rPr>
              <w:rFonts w:eastAsia="Cambria" w:cs="Cambria" w:ascii="Cambria" w:hAnsi="Cambria"/>
            </w:rPr>
            <w:t>1.</w:t>
            <w:tab/>
            <w:t>Introdução</w:t>
            <w:tab/>
          </w:r>
          <w:r>
            <w:rPr>
              <w:rFonts w:cs="Cambria" w:ascii="Cambria" w:hAnsi="Cambria"/>
            </w:rPr>
            <w:t>3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mbria" w:hAnsi="Cambria" w:cs="Cambria" w:hint="eastAsia"/>
            </w:rPr>
          </w:pPr>
          <w:r>
            <w:rPr>
              <w:rFonts w:eastAsia="Cambria" w:cs="Cambria" w:ascii="Cambria" w:hAnsi="Cambria"/>
            </w:rPr>
            <w:t>2.</w:t>
            <w:tab/>
            <w:t>Área de estudo</w:t>
            <w:tab/>
          </w:r>
          <w:r>
            <w:rPr>
              <w:rFonts w:cs="Cambria" w:ascii="Cambria" w:hAnsi="Cambria"/>
            </w:rPr>
            <w:t>3</w:t>
          </w:r>
        </w:p>
        <w:p>
          <w:pPr>
            <w:pStyle w:val="TOC3"/>
            <w:tabs>
              <w:tab w:val="clear" w:pos="1100"/>
              <w:tab w:val="right" w:pos="9213" w:leader="dot"/>
            </w:tabs>
            <w:rPr>
              <w:rFonts w:ascii="Cambria" w:hAnsi="Cambria" w:cs="Cambria" w:hint="eastAsia"/>
            </w:rPr>
          </w:pPr>
          <w:r>
            <w:rPr>
              <w:rFonts w:eastAsia="Cambria" w:cs="Cambria" w:ascii="Cambria" w:hAnsi="Cambria"/>
            </w:rPr>
            <w:t>3. Descrição do Método de Inventário</w:t>
            <w:tab/>
          </w:r>
          <w:r>
            <w:rPr>
              <w:rFonts w:cs="Cambria" w:ascii="Cambria" w:hAnsi="Cambria"/>
            </w:rPr>
            <w:t>4</w:t>
          </w:r>
        </w:p>
        <w:p>
          <w:pPr>
            <w:pStyle w:val="TOC3"/>
            <w:tabs>
              <w:tab w:val="clear" w:pos="1100"/>
              <w:tab w:val="right" w:pos="9213" w:leader="dot"/>
            </w:tabs>
            <w:rPr>
              <w:rFonts w:ascii="Cambria" w:hAnsi="Cambria" w:cs="Cambria" w:hint="eastAsia"/>
            </w:rPr>
          </w:pPr>
          <w:r>
            <w:rPr>
              <w:rFonts w:eastAsia="Cambria" w:cs="Cambria" w:ascii="Cambria" w:hAnsi="Cambria"/>
            </w:rPr>
            <w:t>4. Inventário Fitossociológico e Ecológico</w:t>
            <w:tab/>
          </w:r>
          <w:r>
            <w:rPr>
              <w:rFonts w:cs="Cambria" w:ascii="Cambria" w:hAnsi="Cambria"/>
            </w:rPr>
            <w:t>4</w:t>
          </w:r>
        </w:p>
        <w:p>
          <w:pPr>
            <w:pStyle w:val="TOC3"/>
            <w:tabs>
              <w:tab w:val="clear" w:pos="1100"/>
              <w:tab w:val="right" w:pos="9213" w:leader="dot"/>
            </w:tabs>
            <w:rPr>
              <w:rFonts w:ascii="Cambria" w:hAnsi="Cambria" w:cs="Cambria" w:hint="eastAsia"/>
            </w:rPr>
          </w:pPr>
          <w:r>
            <w:rPr>
              <w:rFonts w:eastAsia="Cambria" w:cs="Cambria" w:ascii="Cambria" w:hAnsi="Cambria"/>
            </w:rPr>
            <w:t>5. Detalhamento do Manejo Requerido</w:t>
            <w:tab/>
          </w:r>
          <w:r>
            <w:rPr>
              <w:rFonts w:cs="Cambria" w:ascii="Cambria" w:hAnsi="Cambria"/>
            </w:rPr>
            <w:t>5</w:t>
          </w:r>
        </w:p>
        <w:p>
          <w:pPr>
            <w:pStyle w:val="TOC3"/>
            <w:tabs>
              <w:tab w:val="clear" w:pos="1100"/>
              <w:tab w:val="right" w:pos="9213" w:leader="dot"/>
            </w:tabs>
            <w:rPr>
              <w:rFonts w:ascii="Cambria" w:hAnsi="Cambria" w:cs="Cambria" w:hint="eastAsia"/>
            </w:rPr>
          </w:pPr>
          <w:r>
            <w:rPr>
              <w:rFonts w:eastAsia="Cambria" w:cs="Cambria" w:ascii="Cambria" w:hAnsi="Cambria"/>
            </w:rPr>
            <w:t>6. Parecer Técnico Conclusivo</w:t>
            <w:tab/>
          </w:r>
          <w:r>
            <w:rPr>
              <w:rFonts w:cs="Cambria" w:ascii="Cambria" w:hAnsi="Cambria"/>
            </w:rPr>
            <w:t>6</w:t>
          </w:r>
          <w:r>
            <w:rPr>
              <w:rFonts w:cs="Cambria" w:ascii="Cambria" w:hAnsi="Cambria"/>
            </w:rPr>
            <w:fldChar w:fldCharType="end"/>
          </w:r>
        </w:p>
      </w:sdtContent>
    </w:sdt>
    <w:p>
      <w:pPr>
        <w:pStyle w:val="TOC3"/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TOC3"/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TOC3"/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Normal"/>
        <w:rPr>
          <w:rFonts w:ascii="Cambria" w:hAnsi="Cambria" w:hint="eastAsia"/>
          <w:lang w:eastAsia="pt-BR"/>
        </w:rPr>
      </w:pPr>
      <w:r>
        <w:rPr>
          <w:rFonts w:hint="eastAsia" w:ascii="Cambria" w:hAnsi="Cambria"/>
          <w:lang w:eastAsia="pt-BR"/>
        </w:rPr>
      </w:r>
    </w:p>
    <w:p>
      <w:pPr>
        <w:pStyle w:val="Heading3"/>
        <w:spacing w:lineRule="auto" w:line="36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rFonts w:ascii="Cambria" w:hAnsi="Cambria" w:hint="eastAsia"/>
          <w:lang w:eastAsia="en-US"/>
        </w:rPr>
      </w:pPr>
      <w:r>
        <w:rPr>
          <w:rFonts w:hint="eastAsia" w:ascii="Cambria" w:hAnsi="Cambria"/>
          <w:lang w:eastAsia="en-US"/>
        </w:rPr>
      </w:r>
    </w:p>
    <w:p>
      <w:pPr>
        <w:pStyle w:val="Normal"/>
        <w:rPr>
          <w:rFonts w:ascii="Cambria" w:hAnsi="Cambria" w:hint="eastAsia"/>
          <w:lang w:eastAsia="en-US"/>
        </w:rPr>
      </w:pPr>
      <w:r>
        <w:rPr>
          <w:rFonts w:hint="eastAsia" w:ascii="Cambria" w:hAnsi="Cambria"/>
          <w:lang w:eastAsia="en-US"/>
        </w:rPr>
      </w:r>
    </w:p>
    <w:p>
      <w:pPr>
        <w:pStyle w:val="Normal"/>
        <w:rPr>
          <w:rFonts w:ascii="Cambria" w:hAnsi="Cambria" w:hint="eastAsia"/>
          <w:lang w:eastAsia="en-US"/>
        </w:rPr>
      </w:pPr>
      <w:r>
        <w:rPr>
          <w:rFonts w:hint="eastAsia" w:ascii="Cambria" w:hAnsi="Cambria"/>
          <w:lang w:eastAsia="en-US"/>
        </w:rPr>
      </w:r>
    </w:p>
    <w:p>
      <w:pPr>
        <w:pStyle w:val="Normal"/>
        <w:rPr>
          <w:rFonts w:ascii="Cambria" w:hAnsi="Cambria" w:hint="eastAsia"/>
          <w:lang w:eastAsia="en-US"/>
        </w:rPr>
      </w:pPr>
      <w:r>
        <w:rPr>
          <w:rFonts w:hint="eastAsia" w:ascii="Cambria" w:hAnsi="Cambria"/>
          <w:lang w:eastAsia="en-US"/>
        </w:rPr>
      </w:r>
    </w:p>
    <w:p>
      <w:pPr>
        <w:pStyle w:val="Heading3"/>
        <w:keepNext w:val="false"/>
        <w:spacing w:lineRule="auto" w:line="360" w:before="0" w:after="0"/>
        <w:ind w:left="720"/>
        <w:rPr>
          <w:b w:val="false"/>
          <w:sz w:val="28"/>
          <w:szCs w:val="28"/>
        </w:rPr>
      </w:pPr>
      <w:bookmarkStart w:id="0" w:name="_Toc1"/>
      <w:r>
        <w:rPr>
          <w:b w:val="false"/>
          <w:sz w:val="28"/>
          <w:szCs w:val="28"/>
        </w:rPr>
        <w:t>PREFÁCIO:</w:t>
      </w:r>
      <w:bookmarkEnd w:id="0"/>
    </w:p>
    <w:p>
      <w:pPr>
        <w:pStyle w:val="Normal"/>
        <w:spacing w:lineRule="auto" w:line="360"/>
        <w:ind w:firstLine="708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Considerando a necessidade de padronizar os métodos de análise nos procedimentos de licenciamento ambiental da Secretaria Municipal do Meio Ambiente de Campo Bom (SEMA), foi construído o seguinte termo de referência. São elencadas as informações e dados imprescindíveis para avaliação técnica dos pedidos de manejo de vegetação. Sugere-se que o técnico utilize este documento como base para elaboração dos Laudos de Cobertura Vegetal (LCV), contendo, no mínimo, o conteúdo subscrito. Estas exigências se baseiam na legislação municipal, estadual e federal, assim como nas resoluções CONDEMA, CONSEMA E CONAMA. </w:t>
      </w:r>
    </w:p>
    <w:p>
      <w:pPr>
        <w:pStyle w:val="Normal"/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rPr>
          <w:b w:val="false"/>
          <w:sz w:val="28"/>
          <w:szCs w:val="28"/>
        </w:rPr>
      </w:pPr>
      <w:bookmarkStart w:id="1" w:name="_Toc2"/>
      <w:r>
        <w:rPr>
          <w:b w:val="false"/>
          <w:sz w:val="28"/>
          <w:szCs w:val="28"/>
        </w:rPr>
        <w:t>Introdução</w:t>
      </w:r>
      <w:bookmarkEnd w:id="1"/>
    </w:p>
    <w:p>
      <w:pPr>
        <w:pStyle w:val="Normal"/>
        <w:spacing w:lineRule="auto" w:line="360"/>
        <w:jc w:val="both"/>
        <w:rPr>
          <w:rFonts w:ascii="Cambria" w:hAnsi="Cambria" w:hint="eastAs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1.1) Dados de identificação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1.1.1) Empreendedor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1.1.2) Atividade/Empreendimento (incluindo matrícula do imóvel). 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1.1.3) Responsável técnico</w:t>
      </w:r>
    </w:p>
    <w:p>
      <w:pPr>
        <w:pStyle w:val="Normal"/>
        <w:spacing w:lineRule="auto" w:line="360"/>
        <w:jc w:val="both"/>
        <w:rPr>
          <w:rFonts w:ascii="Cambria" w:hAnsi="Cambria" w:hint="eastAs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1.2) Objetivos e justificativas da atividade/empreendimento/intervenção requerida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Não é necessária abordagem sobre a caraterização fitogeográfica/formação vegetal do município. 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sz w:val="24"/>
          <w:szCs w:val="24"/>
        </w:rPr>
      </w:pPr>
      <w:r>
        <w:rPr>
          <w:rFonts w:hint="eastAsia" w:ascii="Cambria" w:hAnsi="Cambria"/>
          <w:sz w:val="24"/>
          <w:szCs w:val="24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rPr>
          <w:b w:val="false"/>
          <w:sz w:val="28"/>
          <w:szCs w:val="28"/>
        </w:rPr>
      </w:pPr>
      <w:bookmarkStart w:id="2" w:name="_Toc3"/>
      <w:r>
        <w:rPr>
          <w:b w:val="false"/>
          <w:sz w:val="28"/>
          <w:szCs w:val="28"/>
        </w:rPr>
        <w:t>Área de estudo</w:t>
      </w:r>
      <w:bookmarkEnd w:id="2"/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2.1) Endereço, georreferenciamento, imagem de satélite da área total do lote, evidenciando as medidas das divisas e limites (polígono) em metros lineares e a área total em m</w:t>
      </w:r>
      <w:r>
        <w:rPr>
          <w:rFonts w:ascii="Cambria" w:hAnsi="Cambria"/>
          <w:sz w:val="24"/>
          <w:szCs w:val="24"/>
          <w:vertAlign w:val="superscript"/>
        </w:rPr>
        <w:t>2</w:t>
      </w:r>
      <w:r>
        <w:rPr>
          <w:rFonts w:ascii="Cambria" w:hAnsi="Cambria"/>
          <w:sz w:val="24"/>
          <w:szCs w:val="24"/>
        </w:rPr>
        <w:t xml:space="preserve"> ou hectares (ha). 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2.2) Descrição e classificação dos ecossistemas da área do empreendimento, incluindo: 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2.1.1)  Caracterizar a geografia local (encosta de morro, interior de vale, planície de inundação, etc).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2.1.2) Caracterização da área de estudo e do ambiente de entorno (antropização, usos do solo, áreas de relevância ecológica, corredores ecológicos e áreas de preservação permanente (APPs)). 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2.1.3) Informar se o empreendimento está localizado no interior de Unidade de Conservação ou num raio de 3 km unidade de conservação ou área de interesse ambiental legalmente protegida. 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sz w:val="24"/>
          <w:szCs w:val="24"/>
        </w:rPr>
      </w:pPr>
      <w:r>
        <w:rPr>
          <w:rFonts w:hint="eastAsia" w:ascii="Cambria" w:hAnsi="Cambria"/>
          <w:sz w:val="24"/>
          <w:szCs w:val="24"/>
        </w:rPr>
      </w:r>
    </w:p>
    <w:p>
      <w:pPr>
        <w:pStyle w:val="Heading3"/>
        <w:keepNext w:val="false"/>
        <w:spacing w:lineRule="auto" w:line="360" w:before="0" w:after="0"/>
        <w:ind w:firstLine="567"/>
        <w:rPr>
          <w:b w:val="false"/>
          <w:bCs w:val="false"/>
          <w:sz w:val="28"/>
          <w:szCs w:val="28"/>
        </w:rPr>
      </w:pPr>
      <w:bookmarkStart w:id="3" w:name="_Toc4"/>
      <w:r>
        <w:rPr>
          <w:sz w:val="28"/>
          <w:szCs w:val="28"/>
        </w:rPr>
        <w:t>3.</w:t>
      </w:r>
      <w:r>
        <w:rPr>
          <w:b w:val="false"/>
          <w:bCs w:val="false"/>
          <w:sz w:val="28"/>
          <w:szCs w:val="28"/>
        </w:rPr>
        <w:t xml:space="preserve"> Descrição do Método de Inventário</w:t>
      </w:r>
      <w:bookmarkEnd w:id="3"/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3.1) Deve descrever os métodos de inventário realizados (ponto quadrante/parcelas/amostragem total da área), esforço amostral em horas e diárias, data e condições climáticas do campo, equipe técnica, equipamentos empregados, método de análise de dados (parâmetros fitossociológicos acompanhados de referências) e de delimitação da amostragem (curva espécie/área). Em casos de terrenos urbanos ou áreas com glebas de vegetação onde as metodologias de amostragem não sejam efetivas é solicitado inventário de todos os exemplares arbóreos com DAP &gt; 10 cm. Em todos os inventários devem ser consideradas plantas nativas e exóticas, herbáceas até arbóreas.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sz w:val="24"/>
          <w:szCs w:val="24"/>
        </w:rPr>
      </w:pPr>
      <w:r>
        <w:rPr>
          <w:rFonts w:hint="eastAsia" w:ascii="Cambria" w:hAnsi="Cambria"/>
          <w:sz w:val="24"/>
          <w:szCs w:val="24"/>
        </w:rPr>
      </w:r>
    </w:p>
    <w:p>
      <w:pPr>
        <w:pStyle w:val="Heading3"/>
        <w:keepNext w:val="false"/>
        <w:spacing w:lineRule="auto" w:line="276" w:before="0" w:after="0"/>
        <w:ind w:firstLine="567"/>
        <w:rPr>
          <w:b w:val="false"/>
          <w:sz w:val="28"/>
          <w:szCs w:val="28"/>
        </w:rPr>
      </w:pPr>
      <w:bookmarkStart w:id="4" w:name="_Toc5"/>
      <w:r>
        <w:rPr>
          <w:sz w:val="28"/>
          <w:szCs w:val="28"/>
        </w:rPr>
        <w:t xml:space="preserve">4. </w:t>
      </w:r>
      <w:r>
        <w:rPr>
          <w:b w:val="false"/>
          <w:sz w:val="28"/>
          <w:szCs w:val="28"/>
        </w:rPr>
        <w:t>Inventário Fitossociológico e Ecológico</w:t>
      </w:r>
      <w:bookmarkEnd w:id="4"/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O conteúdo do diagnóstico deve contemplar: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4.1) Descrição e classificação dos ecossistemas da área do empreendimento, incluindo: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4.1.1) A caracterização fisionômica da vegetação (inclusive vegetação campestre, subosque, banhados, etc.).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4.1.2) Estágio sucessional da formação florestal (Resolução CONAMA n° 33/1994), descrevendo:</w:t>
      </w:r>
    </w:p>
    <w:p>
      <w:pPr>
        <w:pStyle w:val="Normal"/>
        <w:spacing w:lineRule="auto" w:line="360"/>
        <w:ind w:firstLine="85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4.1.2.1) Cobertura de solo, presença e espessura de serapilheira.</w:t>
      </w:r>
    </w:p>
    <w:p>
      <w:pPr>
        <w:pStyle w:val="Normal"/>
        <w:spacing w:lineRule="auto" w:line="360"/>
        <w:ind w:firstLine="85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4.1.2.2) Comunidades herbáceas, arbustivas, de sub-bosque, de lianas e trepadeiras, de epífitos e dos estratos predominantes.</w:t>
      </w:r>
    </w:p>
    <w:p>
      <w:pPr>
        <w:pStyle w:val="Normal"/>
        <w:spacing w:lineRule="auto" w:line="360"/>
        <w:ind w:firstLine="85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4.1.2.3) Subosque.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4.2) Inventário botânico com levantamento qualitativo e quantitativo da vegetação (incluindo vegetação campestre, subosque, banhados, etc.), indicação da abundância, famílias botânicas, nomenclatura científica e popular, estágio sucessional e grau de ameaça das espécies.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4.3) Aferimento de dados dendrométricos, altura e diâmetro de copa.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4.4) Apresentação dos dados fitossociológicos, incluindo: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4.4.1) Dominância.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4.4.2) Índice de valor de importância e cobertura.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4.4.3) Densidade das espécies, cubagem de madeira da gleba e da vegetação a ser extraída, em metros cúbicos e em estéreo (devem ser anexadas as tabelas e memorial de cálculo).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4.5) Determinação da suficiência amostral, baseada em curva espécie/área, ou amostragem completa da vegetação em toda área do lote.</w:t>
      </w:r>
    </w:p>
    <w:p>
      <w:pPr>
        <w:pStyle w:val="Normal"/>
        <w:spacing w:lineRule="auto" w:line="360"/>
        <w:jc w:val="both"/>
        <w:rPr>
          <w:rFonts w:ascii="Cambria" w:hAnsi="Cambria" w:hint="eastAs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4.6) Identificação e georreferenciamento das espécies raras, endêmicas, ameaçadas de extinção e imunes ao cor</w:t>
      </w:r>
      <w:r>
        <w:rPr>
          <w:rFonts w:ascii="Cambria" w:hAnsi="Cambria"/>
          <w:color w:val="000000"/>
          <w:sz w:val="24"/>
          <w:szCs w:val="24"/>
        </w:rPr>
        <w:t>te.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4.7) Considerações sobre a</w:t>
      </w:r>
      <w:r>
        <w:rPr>
          <w:rFonts w:ascii="Cambria" w:hAnsi="Cambria"/>
          <w:sz w:val="24"/>
          <w:szCs w:val="24"/>
        </w:rPr>
        <w:t xml:space="preserve"> presença de nidificações e enxames de meliponídeos.</w:t>
      </w:r>
    </w:p>
    <w:p>
      <w:pPr>
        <w:pStyle w:val="Normal"/>
        <w:spacing w:lineRule="auto" w:line="360"/>
        <w:jc w:val="both"/>
        <w:rPr>
          <w:rFonts w:ascii="Cambria" w:hAnsi="Cambria" w:hint="eastAs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4.8) Considerações sobre epífitos protegidos ou ameaçados nas plantas a serem suprimidas, assim como sobre o manejo proposto para mitigação do impacto gerado</w:t>
      </w:r>
      <w:r>
        <w:rPr>
          <w:rFonts w:ascii="Cambria" w:hAnsi="Cambria"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4.9) Considerações sobre a formação de corredores ecológicos, interação entre a área de estudo e as áreas de entorno.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4.10) Observações sobre registros de rastros e ocor</w:t>
      </w:r>
      <w:bookmarkStart w:id="5" w:name="_GoBack"/>
      <w:bookmarkEnd w:id="5"/>
      <w:r>
        <w:rPr>
          <w:rFonts w:ascii="Cambria" w:hAnsi="Cambria"/>
          <w:sz w:val="24"/>
          <w:szCs w:val="24"/>
        </w:rPr>
        <w:t>rência da fauna e avaliação da capacidade de suporte da gleba para alimentação e abrigo da fauna.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4.11) Declaração sobre as Áreas de Preservação Permanente (APP) na área de estudo e na distância de 100 metros de todo o limite da área.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4.12) Determinação do enquadramento da gleba, quanto a localizar-se ou não no bioma Mata Atlântica (Lei Federal n° 11.428/2006).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4.13) Relatório fotográfico contemplando todas as formações vegetais presentes na área de estudo, assim como o interior de mata, subosque, epífitos, cobertura de solo, visão geral da área de estudo e evidenciando a metodologia de inventário.</w:t>
      </w:r>
    </w:p>
    <w:p>
      <w:pPr>
        <w:pStyle w:val="Normal"/>
        <w:spacing w:lineRule="auto" w:line="360"/>
        <w:jc w:val="both"/>
        <w:rPr>
          <w:rFonts w:ascii="Cambria" w:hAnsi="Cambria" w:hint="eastAs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4.14) Croqui ou Mapa de Caracterização Ambiental, em escala, contemplando a área total do empreendimento, com representação das APPs, dos recursos hídricos, das espécies ameaçadas ou imunes ao corte, das glebas de vegetaçã</w:t>
      </w:r>
      <w:r>
        <w:rPr>
          <w:rFonts w:ascii="Cambria" w:hAnsi="Cambria"/>
          <w:color w:val="000000"/>
          <w:sz w:val="24"/>
          <w:szCs w:val="24"/>
        </w:rPr>
        <w:t>o conforme características e estágio sucessional e da área a ser suprimida, com indicação dos vértices, das coordenadas geográficas e quadro de áreas.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color w:val="000000"/>
          <w:sz w:val="24"/>
          <w:szCs w:val="24"/>
        </w:rPr>
      </w:pPr>
      <w:r>
        <w:rPr>
          <w:rFonts w:hint="eastAsia" w:ascii="Cambria" w:hAnsi="Cambria"/>
          <w:color w:val="000000"/>
          <w:sz w:val="24"/>
          <w:szCs w:val="24"/>
        </w:rPr>
      </w:r>
    </w:p>
    <w:p>
      <w:pPr>
        <w:pStyle w:val="Heading3"/>
        <w:keepNext w:val="false"/>
        <w:spacing w:lineRule="auto" w:line="276" w:before="0" w:after="0"/>
        <w:ind w:firstLine="567"/>
        <w:rPr>
          <w:b w:val="false"/>
          <w:sz w:val="28"/>
          <w:szCs w:val="28"/>
        </w:rPr>
      </w:pPr>
      <w:bookmarkStart w:id="6" w:name="_Toc6"/>
      <w:r>
        <w:rPr>
          <w:sz w:val="28"/>
          <w:szCs w:val="28"/>
        </w:rPr>
        <w:t xml:space="preserve">5. </w:t>
      </w:r>
      <w:r>
        <w:rPr>
          <w:b w:val="false"/>
          <w:sz w:val="28"/>
          <w:szCs w:val="28"/>
        </w:rPr>
        <w:t>Detalhamento do Manejo Requerido</w:t>
      </w:r>
      <w:bookmarkEnd w:id="6"/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Havendo necessidade de manejo, supressão ou transplante da vegetação: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5.1) Em caso de necessidade de supressão, detalhar o manejo requerido, indicando a gleba de vegetação a ser suprimida com seus respectivos dados de densidade e de volume. Deve especificar a quantidade de produtos e subprodutos florestais a serem obtidos com a supressão, assim como a destinação a ser dada para tais produtos.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5.2) Em caso de necessidade de supressão, apresentar Projeto de Supressão e de Reposição Florestal Obrigatória, conforme Termo de Referência.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5.3) As glebas a serem suprimidas deverão ser demarcadas com fita zebrada.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5.4) Considerações sobre o estado fitossanitário das plantas a serem suprimidas.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5.5) Em caso de necessidade de transplante, apresentar Projeto de Transplante Vegetal, conforme Termo de Referência.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5.6) Os indivíduos imunes ao corte ou alvo de transplante, devem ser demarcados com fita zebrada, identificados com etiquetas, contendo nomes científicos e popular e referência à numeração do indivíduo na lista de vegetação apresentada.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5.7) Em caso de necessidade de manejo de espécie ameaçada, apresentar </w:t>
      </w:r>
      <w:r>
        <w:rPr>
          <w:rFonts w:ascii="Cambria" w:hAnsi="Cambria"/>
          <w:b/>
          <w:bCs/>
          <w:sz w:val="24"/>
          <w:szCs w:val="24"/>
        </w:rPr>
        <w:t>Projeto de Manejo de Espécie Ameaçada</w:t>
      </w:r>
      <w:r>
        <w:rPr>
          <w:rFonts w:ascii="Cambria" w:hAnsi="Cambria"/>
          <w:sz w:val="24"/>
          <w:szCs w:val="24"/>
        </w:rPr>
        <w:t>, conforme Termo de Referência.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5.8) Em caso de necessidade de supressão de vegetação com presença de epífitos, apresentar </w:t>
      </w:r>
      <w:r>
        <w:rPr>
          <w:rFonts w:ascii="Cambria" w:hAnsi="Cambria"/>
          <w:b/>
          <w:bCs/>
          <w:sz w:val="24"/>
          <w:szCs w:val="24"/>
        </w:rPr>
        <w:t>Projeto de Resgate e Realocação de Epífitos</w:t>
      </w:r>
      <w:r>
        <w:rPr>
          <w:rFonts w:ascii="Cambria" w:hAnsi="Cambria"/>
          <w:sz w:val="24"/>
          <w:szCs w:val="24"/>
        </w:rPr>
        <w:t>, conforme Termo de Referência.</w:t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  <w:highlight w:val="yellow"/>
        </w:rPr>
      </w:pPr>
      <w:r>
        <w:rPr>
          <w:rFonts w:hint="eastAsia" w:ascii="Cambria" w:hAnsi="Cambria"/>
          <w:sz w:val="24"/>
          <w:szCs w:val="24"/>
          <w:highlight w:val="yellow"/>
        </w:rPr>
      </w:r>
    </w:p>
    <w:p>
      <w:pPr>
        <w:pStyle w:val="Heading3"/>
        <w:keepNext w:val="false"/>
        <w:spacing w:lineRule="auto" w:line="276" w:before="0" w:after="0"/>
        <w:ind w:firstLine="567"/>
        <w:rPr>
          <w:b w:val="false"/>
          <w:sz w:val="28"/>
          <w:szCs w:val="28"/>
        </w:rPr>
      </w:pPr>
      <w:bookmarkStart w:id="7" w:name="_Toc7"/>
      <w:r>
        <w:rPr>
          <w:sz w:val="28"/>
          <w:szCs w:val="28"/>
        </w:rPr>
        <w:t xml:space="preserve">6. </w:t>
      </w:r>
      <w:r>
        <w:rPr>
          <w:b w:val="false"/>
          <w:sz w:val="28"/>
          <w:szCs w:val="28"/>
        </w:rPr>
        <w:t>Parecer Técnico Conclusivo</w:t>
      </w:r>
      <w:bookmarkEnd w:id="7"/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6.1) Apresentar uma avaliação clara sobre a viabilidade legal do manejo requerido, abordando os impactos da supressão sobre os ecossistemas locais e as possibilidades de mitigação dos danos. A justificativa deve se basear nos dados fitossociológicos inventariados e na caracterização do estágio sucessional da vegetação, frente a legislação e literatura, para se mostrar viável. Esta abordagem deve indicar efeitos como o isolamento geográfico de populações, interrupção de corredores ecológicos, diminuição da área permeável e influência do manejo no ambiente de entorno.</w:t>
      </w:r>
    </w:p>
    <w:p>
      <w:pPr>
        <w:pStyle w:val="Normal"/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rPr>
          <w:rFonts w:ascii="Cambria" w:hAnsi="Cambria" w:hint="eastAsia"/>
        </w:rPr>
      </w:pPr>
      <w:r>
        <w:rPr>
          <w:rFonts w:hint="eastAsia" w:ascii="Cambria" w:hAnsi="Cambria"/>
        </w:rPr>
      </w:r>
    </w:p>
    <w:p>
      <w:pPr>
        <w:pStyle w:val="Normal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Devem ser apresentados como anexos:</w:t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b/>
          <w:sz w:val="24"/>
          <w:szCs w:val="24"/>
        </w:rPr>
      </w:pPr>
      <w:r>
        <w:rPr>
          <w:rFonts w:hint="eastAsia" w:ascii="Cambria" w:hAnsi="Cambria"/>
          <w:b/>
          <w:sz w:val="24"/>
          <w:szCs w:val="24"/>
        </w:rPr>
      </w:r>
    </w:p>
    <w:p>
      <w:pPr>
        <w:pStyle w:val="Normal"/>
        <w:spacing w:lineRule="auto" w:line="360"/>
        <w:ind w:firstLine="567"/>
        <w:jc w:val="both"/>
        <w:rPr>
          <w:rFonts w:ascii="Cambria" w:hAnsi="Cambria" w:hint="eastAs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ANEXOS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ANEXO I – Listas de espécies e tabelas de fitossociologia.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ANEXO II – Croqui/mapa da área de estudo.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ANEXO III - Relatório fotográfico.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ANEXO IV - Cronograma de ações.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ANEXO V – ART</w:t>
      </w:r>
    </w:p>
    <w:p>
      <w:pPr>
        <w:pStyle w:val="Normal"/>
        <w:spacing w:lineRule="auto" w:line="360"/>
        <w:ind w:left="1287"/>
        <w:jc w:val="both"/>
        <w:rPr>
          <w:rFonts w:ascii="Cambria" w:hAnsi="Cambria" w:hint="eastAsia"/>
          <w:sz w:val="24"/>
          <w:szCs w:val="24"/>
        </w:rPr>
      </w:pPr>
      <w:r>
        <w:rPr>
          <w:rFonts w:hint="eastAs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hint="eastAs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ATENÇÃO: Caso sejam constatadas irregularidades que sejam consideradas fraude intencional, o processo poderá ser denunciado aos órgãos fiscalizadores/investigatórios e aos respectivos conselhos de classe.  Estes casos podem incluir omissão ou irregularidade na demarcação das  APPs e espécies protegidas e na elaboração de croquis e listas de vegetação, que tragam  informações discrepantes da realidade constatada em campo pelos técnicos da SEMA.</w:t>
      </w:r>
    </w:p>
    <w:p>
      <w:pPr>
        <w:pStyle w:val="Normal"/>
        <w:spacing w:lineRule="auto" w:line="360"/>
        <w:jc w:val="both"/>
        <w:rPr>
          <w:rFonts w:ascii="Cambria" w:hAnsi="Cambria" w:hint="eastAsia"/>
          <w:color w:val="FF0000"/>
          <w:sz w:val="24"/>
          <w:szCs w:val="24"/>
        </w:rPr>
      </w:pPr>
      <w:r>
        <w:rPr>
          <w:rFonts w:hint="eastAsia" w:ascii="Cambria" w:hAnsi="Cambria"/>
          <w:color w:val="FF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EQUIPE TÉCNICA</w:t>
      </w:r>
    </w:p>
    <w:p>
      <w:pPr>
        <w:pStyle w:val="Normal"/>
        <w:spacing w:lineRule="auto" w:line="360"/>
        <w:jc w:val="center"/>
        <w:rPr>
          <w:rFonts w:ascii="Cambria" w:hAnsi="Cambria" w:hint="eastAsia"/>
          <w:sz w:val="24"/>
          <w:szCs w:val="24"/>
        </w:rPr>
      </w:pPr>
      <w:r>
        <w:rPr>
          <w:rFonts w:hint="eastAsia" w:ascii="Cambria" w:hAnsi="Cambria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mbria" w:hAnsi="Cambria" w:hint="eastAsia"/>
          <w:sz w:val="24"/>
          <w:szCs w:val="24"/>
        </w:rPr>
      </w:pPr>
      <w:r>
        <w:rPr>
          <w:rFonts w:hint="eastAsia" w:ascii="Cambria" w:hAnsi="Cambria"/>
          <w:sz w:val="24"/>
          <w:szCs w:val="24"/>
        </w:rPr>
      </w:r>
    </w:p>
    <w:p>
      <w:pPr>
        <w:pStyle w:val="Normal"/>
        <w:spacing w:lineRule="auto" w:line="360"/>
        <w:ind w:firstLine="567"/>
        <w:jc w:val="right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Nome do Profissional</w:t>
      </w:r>
    </w:p>
    <w:p>
      <w:pPr>
        <w:pStyle w:val="Normal"/>
        <w:spacing w:lineRule="auto" w:line="360"/>
        <w:ind w:firstLine="567"/>
        <w:jc w:val="right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Formação – Registro no Conselho de Classe</w:t>
      </w:r>
    </w:p>
    <w:p>
      <w:pPr>
        <w:pStyle w:val="Normal"/>
        <w:spacing w:lineRule="auto" w:line="360"/>
        <w:ind w:firstLine="567"/>
        <w:jc w:val="right"/>
        <w:rPr>
          <w:rFonts w:ascii="Cambria" w:hAnsi="Cambria" w:hint="eastAsia"/>
          <w:sz w:val="24"/>
          <w:szCs w:val="24"/>
        </w:rPr>
      </w:pPr>
      <w:r>
        <w:rPr>
          <w:rFonts w:ascii="Cambria" w:hAnsi="Cambria"/>
          <w:sz w:val="24"/>
          <w:szCs w:val="24"/>
        </w:rPr>
        <w:t>Contato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1560" w:gutter="0" w:header="510" w:top="1417" w:footer="720" w:bottom="141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mbria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mbria" w:hAnsi="Cambria" w:cs="Cambria" w:hint="eastAsia"/>
        <w:color w:val="808080"/>
        <w:sz w:val="16"/>
        <w:szCs w:val="16"/>
      </w:rPr>
    </w:pPr>
    <w:r>
      <w:rPr>
        <w:rFonts w:eastAsia="Cambria" w:cs="Cambria" w:ascii="Cambria" w:hAnsi="Cambria"/>
        <w:color w:val="808080"/>
        <w:sz w:val="16"/>
        <w:szCs w:val="16"/>
      </w:rPr>
      <w:t xml:space="preserve">TR  – CAMPO BOM 2025     </w:t>
    </w:r>
  </w:p>
  <w:p>
    <w:pPr>
      <w:pStyle w:val="Normal"/>
      <w:rPr>
        <w:rFonts w:ascii="Cambria" w:hAnsi="Cambria" w:cs="Cambria" w:hint="eastAsia"/>
        <w:color w:val="808080"/>
        <w:sz w:val="16"/>
        <w:szCs w:val="16"/>
      </w:rPr>
    </w:pPr>
    <w:r>
      <w:rPr>
        <w:rFonts w:eastAsia="Cambria" w:cs="Cambria" w:ascii="Cambria" w:hAnsi="Cambria"/>
        <w:color w:val="808080"/>
        <w:sz w:val="16"/>
        <w:szCs w:val="16"/>
      </w:rPr>
      <w:t xml:space="preserve">Prefeitura Municipal de Campo Bom – Avenida Independência, nº 800 – Fone: (51) 3598-8600 </w:t>
    </w:r>
  </w:p>
  <w:p>
    <w:pPr>
      <w:pStyle w:val="Footer"/>
      <w:jc w:val="right"/>
      <w:rPr>
        <w:rFonts w:ascii="Cambria" w:hAnsi="Cambria" w:cs="Cambria" w:hint="eastAsia"/>
        <w:color w:val="808080"/>
        <w:sz w:val="16"/>
        <w:szCs w:val="16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Footer"/>
      <w:rPr/>
    </w:pPr>
    <w:r>
      <w:rPr/>
      <w:t xml:space="preserve">                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mbria" w:hAnsi="Cambria" w:cs="Cambria" w:hint="eastAsia"/>
        <w:color w:val="808080"/>
        <w:sz w:val="16"/>
        <w:szCs w:val="16"/>
      </w:rPr>
    </w:pPr>
    <w:r>
      <w:rPr>
        <w:rFonts w:eastAsia="Cambria" w:cs="Cambria" w:ascii="Cambria" w:hAnsi="Cambria"/>
        <w:color w:val="808080"/>
        <w:sz w:val="16"/>
        <w:szCs w:val="16"/>
      </w:rPr>
      <w:t xml:space="preserve">TR  – CAMPO BOM 2025     </w:t>
    </w:r>
  </w:p>
  <w:p>
    <w:pPr>
      <w:pStyle w:val="Normal"/>
      <w:rPr>
        <w:rFonts w:ascii="Cambria" w:hAnsi="Cambria" w:cs="Cambria" w:hint="eastAsia"/>
        <w:color w:val="808080"/>
        <w:sz w:val="16"/>
        <w:szCs w:val="16"/>
      </w:rPr>
    </w:pPr>
    <w:r>
      <w:rPr>
        <w:rFonts w:eastAsia="Cambria" w:cs="Cambria" w:ascii="Cambria" w:hAnsi="Cambria"/>
        <w:color w:val="808080"/>
        <w:sz w:val="16"/>
        <w:szCs w:val="16"/>
      </w:rPr>
      <w:t xml:space="preserve">Prefeitura Municipal de Campo Bom – Avenida Independência, nº 800 – Fone: (51) 3598-8600 </w:t>
    </w:r>
  </w:p>
  <w:p>
    <w:pPr>
      <w:pStyle w:val="Footer"/>
      <w:jc w:val="right"/>
      <w:rPr>
        <w:rFonts w:ascii="Cambria" w:hAnsi="Cambria" w:cs="Cambria" w:hint="eastAsia"/>
        <w:color w:val="808080"/>
        <w:sz w:val="16"/>
        <w:szCs w:val="16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Footer"/>
      <w:rPr/>
    </w:pPr>
    <w:r>
      <w:rPr/>
      <w:t xml:space="preserve">      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rPr/>
          </w:pPr>
          <w:r>
            <w:rPr/>
            <w:drawing>
              <wp:inline distT="0" distB="0" distL="0" distR="0">
                <wp:extent cx="2386330" cy="68643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686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spacing w:lineRule="exact" w:line="283"/>
            <w:jc w:val="center"/>
            <w:rPr>
              <w:rFonts w:ascii="Cambria" w:hAnsi="Cambria" w:cs="Cambria" w:hint="eastAsia"/>
              <w:sz w:val="23"/>
              <w:szCs w:val="23"/>
            </w:rPr>
          </w:pPr>
          <w:r>
            <w:rPr>
              <w:rFonts w:cs="Cambria" w:hint="eastAsia" w:ascii="Cambria" w:hAnsi="Cambria"/>
              <w:sz w:val="23"/>
              <w:szCs w:val="23"/>
            </w:rPr>
          </w:r>
        </w:p>
        <w:p>
          <w:pPr>
            <w:pStyle w:val="SubtituloNivel24"/>
            <w:widowControl w:val="false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 w:hint="eastAsia"/>
              <w:b/>
              <w:szCs w:val="22"/>
            </w:rPr>
          </w:pPr>
          <w:r>
            <w:rPr>
              <w:rFonts w:cs="Calibri" w:ascii="Cambria" w:hAnsi="Cambria"/>
              <w:b/>
              <w:szCs w:val="22"/>
            </w:rPr>
            <w:t>TERMO DE REFERÊNCIA PARA ELABORAÇÃO DE LAUD DE COBERTURA VEGETAL</w:t>
          </w:r>
        </w:p>
        <w:p>
          <w:pPr>
            <w:pStyle w:val="SubtituloNivel24"/>
            <w:widowControl w:val="false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 w:hint="eastAsia"/>
              <w:b/>
              <w:szCs w:val="22"/>
            </w:rPr>
          </w:pPr>
          <w:r>
            <w:rPr>
              <w:rFonts w:cs="Calibri" w:ascii="Cambria" w:hAnsi="Cambria"/>
              <w:b/>
              <w:szCs w:val="22"/>
            </w:rPr>
            <w:t>CAMPO BOM - RS</w:t>
          </w:r>
        </w:p>
        <w:p>
          <w:pPr>
            <w:pStyle w:val="Normal"/>
            <w:widowControl w:val="false"/>
            <w:spacing w:lineRule="exact" w:line="283"/>
            <w:jc w:val="center"/>
            <w:rPr>
              <w:rFonts w:ascii="Cambria" w:hAnsi="Cambria" w:cs="Cambria" w:hint="eastAsia"/>
              <w:b/>
              <w:bCs/>
              <w:caps/>
              <w:sz w:val="23"/>
              <w:szCs w:val="23"/>
            </w:rPr>
          </w:pPr>
          <w:r>
            <w:rPr>
              <w:rFonts w:cs="Cambria" w:hint="eastAsia" w:ascii="Cambria" w:hAnsi="Cambria"/>
              <w:b/>
              <w:bCs/>
              <w:caps/>
              <w:sz w:val="23"/>
              <w:szCs w:val="23"/>
            </w:rPr>
          </w:r>
        </w:p>
      </w:tc>
    </w:tr>
  </w:tbl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rPr/>
          </w:pPr>
          <w:r>
            <w:rPr/>
            <w:drawing>
              <wp:inline distT="0" distB="0" distL="0" distR="0">
                <wp:extent cx="2386330" cy="68643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686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spacing w:lineRule="exact" w:line="283"/>
            <w:jc w:val="center"/>
            <w:rPr>
              <w:rFonts w:ascii="Cambria" w:hAnsi="Cambria" w:cs="Cambria" w:hint="eastAsia"/>
              <w:sz w:val="23"/>
              <w:szCs w:val="23"/>
            </w:rPr>
          </w:pPr>
          <w:r>
            <w:rPr>
              <w:rFonts w:cs="Cambria" w:hint="eastAsia" w:ascii="Cambria" w:hAnsi="Cambria"/>
              <w:sz w:val="23"/>
              <w:szCs w:val="23"/>
            </w:rPr>
          </w:r>
        </w:p>
        <w:p>
          <w:pPr>
            <w:pStyle w:val="SubtituloNivel24"/>
            <w:widowControl w:val="false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 w:hint="eastAsia"/>
              <w:b/>
              <w:szCs w:val="22"/>
            </w:rPr>
          </w:pPr>
          <w:r>
            <w:rPr>
              <w:rFonts w:cs="Calibri" w:ascii="Cambria" w:hAnsi="Cambria"/>
              <w:b/>
              <w:szCs w:val="22"/>
            </w:rPr>
            <w:t>TERMO DE REFERÊNCIA PARA ELABORAÇÃO DE LAUD DE COBERTURA VEGETAL</w:t>
          </w:r>
        </w:p>
        <w:p>
          <w:pPr>
            <w:pStyle w:val="SubtituloNivel24"/>
            <w:widowControl w:val="false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 w:hint="eastAsia"/>
              <w:b/>
              <w:szCs w:val="22"/>
            </w:rPr>
          </w:pPr>
          <w:r>
            <w:rPr>
              <w:rFonts w:cs="Calibri" w:ascii="Cambria" w:hAnsi="Cambria"/>
              <w:b/>
              <w:szCs w:val="22"/>
            </w:rPr>
            <w:t>CAMPO BOM - RS</w:t>
          </w:r>
        </w:p>
        <w:p>
          <w:pPr>
            <w:pStyle w:val="Normal"/>
            <w:widowControl w:val="false"/>
            <w:spacing w:lineRule="exact" w:line="283"/>
            <w:jc w:val="center"/>
            <w:rPr>
              <w:rFonts w:ascii="Cambria" w:hAnsi="Cambria" w:cs="Cambria" w:hint="eastAsia"/>
              <w:b/>
              <w:bCs/>
              <w:caps/>
              <w:sz w:val="23"/>
              <w:szCs w:val="23"/>
            </w:rPr>
          </w:pPr>
          <w:r>
            <w:rPr>
              <w:rFonts w:cs="Cambria" w:hint="eastAsia" w:ascii="Cambria" w:hAnsi="Cambria"/>
              <w:b/>
              <w:bCs/>
              <w:caps/>
              <w:sz w:val="23"/>
              <w:szCs w:val="23"/>
            </w:rPr>
          </w:r>
        </w:p>
      </w:tc>
    </w:tr>
  </w:tbl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pStyle w:val="SubtituloNivel25"/>
      <w:isLgl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pStyle w:val="SubtitulosNivel35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cs="Times New Roman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2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decimal"/>
      <w:isLgl/>
      <w:lvlText w:val="%1."/>
      <w:lvlJc w:val="left"/>
      <w:pPr>
        <w:tabs>
          <w:tab w:val="num" w:pos="1815"/>
        </w:tabs>
        <w:ind w:left="1815" w:hanging="397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1778" w:hanging="76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2138"/>
        </w:tabs>
        <w:ind w:left="2138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2498"/>
        </w:tabs>
        <w:ind w:left="2498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2498"/>
        </w:tabs>
        <w:ind w:left="2498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2498"/>
        </w:tabs>
        <w:ind w:left="2498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2858"/>
        </w:tabs>
        <w:ind w:left="2858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2858"/>
        </w:tabs>
        <w:ind w:left="2858" w:hanging="1440"/>
      </w:pPr>
      <w:rPr/>
    </w:lvl>
  </w:abstractNum>
  <w:abstractNum w:abstractNumId="4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587" w:hanging="303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isLgl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 Unicode MS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 Unicode MS"/>
      <w:color w:val="auto"/>
      <w:kern w:val="0"/>
      <w:sz w:val="20"/>
      <w:szCs w:val="20"/>
      <w:lang w:eastAsia="zh-CN" w:val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spacing w:before="240" w:after="0"/>
      <w:ind w:firstLine="1440"/>
      <w:jc w:val="center"/>
      <w:outlineLvl w:val="0"/>
    </w:pPr>
    <w:rPr>
      <w:rFonts w:ascii="Arial" w:hAnsi="Arial" w:cs="Arial"/>
      <w:b/>
      <w:i/>
      <w:sz w:val="2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 w:val="true"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365F9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365F91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val="272727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uiPriority w:val="9"/>
    <w:qFormat/>
    <w:rPr>
      <w:rFonts w:ascii="Arial" w:hAnsi="Arial" w:eastAsia="Arial" w:cs="Arial"/>
      <w:color w:val="365F91"/>
      <w:sz w:val="40"/>
      <w:szCs w:val="40"/>
    </w:rPr>
  </w:style>
  <w:style w:type="character" w:styleId="Ttulo2Char" w:customStyle="1">
    <w:name w:val="Título 2 Char"/>
    <w:uiPriority w:val="9"/>
    <w:qFormat/>
    <w:rPr>
      <w:rFonts w:ascii="Arial" w:hAnsi="Arial" w:eastAsia="Arial" w:cs="Arial"/>
      <w:color w:val="365F91"/>
      <w:sz w:val="32"/>
      <w:szCs w:val="32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color w:val="365F91"/>
      <w:sz w:val="28"/>
      <w:szCs w:val="28"/>
    </w:rPr>
  </w:style>
  <w:style w:type="character" w:styleId="Ttulo4Char" w:customStyle="1">
    <w:name w:val="Título 4 Char"/>
    <w:uiPriority w:val="9"/>
    <w:qFormat/>
    <w:rPr>
      <w:rFonts w:ascii="Arial" w:hAnsi="Arial" w:eastAsia="Arial" w:cs="Arial"/>
      <w:i/>
      <w:iCs/>
      <w:color w:val="365F91"/>
    </w:rPr>
  </w:style>
  <w:style w:type="character" w:styleId="Ttulo5Char" w:customStyle="1">
    <w:name w:val="Título 5 Char"/>
    <w:uiPriority w:val="9"/>
    <w:qFormat/>
    <w:rPr>
      <w:rFonts w:ascii="Arial" w:hAnsi="Arial" w:eastAsia="Arial" w:cs="Arial"/>
      <w:color w:val="365F91"/>
    </w:rPr>
  </w:style>
  <w:style w:type="character" w:styleId="Ttulo6Char" w:customStyle="1">
    <w:name w:val="Título 6 Char"/>
    <w:uiPriority w:val="9"/>
    <w:qFormat/>
    <w:rPr>
      <w:rFonts w:ascii="Arial" w:hAnsi="Arial" w:eastAsia="Arial" w:cs="Arial"/>
      <w:i/>
      <w:iCs/>
      <w:color w:val="595959"/>
    </w:rPr>
  </w:style>
  <w:style w:type="character" w:styleId="Ttulo7Char" w:customStyle="1">
    <w:name w:val="Título 7 Char"/>
    <w:uiPriority w:val="9"/>
    <w:qFormat/>
    <w:rPr>
      <w:rFonts w:ascii="Arial" w:hAnsi="Arial" w:eastAsia="Arial" w:cs="Arial"/>
      <w:color w:val="595959"/>
    </w:rPr>
  </w:style>
  <w:style w:type="character" w:styleId="Ttulo8Char" w:customStyle="1">
    <w:name w:val="Título 8 Char"/>
    <w:uiPriority w:val="9"/>
    <w:qFormat/>
    <w:rPr>
      <w:rFonts w:ascii="Arial" w:hAnsi="Arial" w:eastAsia="Arial" w:cs="Arial"/>
      <w:i/>
      <w:iCs/>
      <w:color w:val="272727"/>
    </w:rPr>
  </w:style>
  <w:style w:type="character" w:styleId="Ttulo9Char" w:customStyle="1">
    <w:name w:val="Título 9 Char"/>
    <w:uiPriority w:val="9"/>
    <w:qFormat/>
    <w:rPr>
      <w:rFonts w:ascii="Arial" w:hAnsi="Arial" w:eastAsia="Arial" w:cs="Arial"/>
      <w:i/>
      <w:iCs/>
      <w:color w:val="272727"/>
    </w:rPr>
  </w:style>
  <w:style w:type="character" w:styleId="TtuloChar" w:customStyle="1">
    <w:name w:val="Título Char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tuloChar" w:customStyle="1">
    <w:name w:val="Subtítulo Char"/>
    <w:uiPriority w:val="11"/>
    <w:qFormat/>
    <w:rPr>
      <w:color w:val="595959"/>
      <w:spacing w:val="15"/>
      <w:sz w:val="28"/>
      <w:szCs w:val="28"/>
    </w:rPr>
  </w:style>
  <w:style w:type="character" w:styleId="CitaoChar" w:customStyle="1">
    <w:name w:val="Citação Char"/>
    <w:link w:val="Quote"/>
    <w:uiPriority w:val="29"/>
    <w:qFormat/>
    <w:rPr>
      <w:i/>
      <w:iCs/>
      <w:color w:val="404040"/>
    </w:rPr>
  </w:style>
  <w:style w:type="character" w:styleId="IntenseEmphasis">
    <w:name w:val="Intense Emphasis"/>
    <w:uiPriority w:val="21"/>
    <w:qFormat/>
    <w:rPr>
      <w:i/>
      <w:iCs/>
      <w:color w:val="365F91"/>
    </w:rPr>
  </w:style>
  <w:style w:type="character" w:styleId="CitaoIntensaChar" w:customStyle="1">
    <w:name w:val="Citação Intensa Char"/>
    <w:link w:val="IntenseQuote"/>
    <w:uiPriority w:val="30"/>
    <w:qFormat/>
    <w:rPr>
      <w:i/>
      <w:iCs/>
      <w:color w:val="365F91"/>
    </w:rPr>
  </w:style>
  <w:style w:type="character" w:styleId="IntenseReference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TextodenotaderodapChar" w:customStyle="1">
    <w:name w:val="Texto de nota de rodapé Char"/>
    <w:uiPriority w:val="99"/>
    <w:semiHidden/>
    <w:qFormat/>
    <w:rPr>
      <w:sz w:val="20"/>
      <w:szCs w:val="20"/>
    </w:rPr>
  </w:style>
  <w:style w:type="character" w:styleId="Caracteresdenotaderodapuser" w:customStyle="1">
    <w:name w:val="Caracteres de nota de rodapé (user)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uiPriority w:val="99"/>
    <w:semiHidden/>
    <w:qFormat/>
    <w:rPr>
      <w:sz w:val="20"/>
      <w:szCs w:val="20"/>
    </w:rPr>
  </w:style>
  <w:style w:type="character" w:styleId="Caracteresdenotadefimuser" w:customStyle="1">
    <w:name w:val="Caracteres de nota de fim (user)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WW8Num2z0" w:customStyle="1">
    <w:name w:val="WW8Num2z0"/>
    <w:qFormat/>
    <w:rPr>
      <w:rFonts w:ascii="Arial" w:hAnsi="Arial" w:cs="Times New Roman"/>
      <w:b/>
      <w:i w:val="false"/>
      <w:sz w:val="22"/>
    </w:rPr>
  </w:style>
  <w:style w:type="character" w:styleId="WW8Num2z1" w:customStyle="1">
    <w:name w:val="WW8Num2z1"/>
    <w:qFormat/>
    <w:rPr>
      <w:rFonts w:ascii="Arial" w:hAnsi="Arial" w:cs="Times New Roman"/>
      <w:b w:val="false"/>
      <w:i w:val="false"/>
      <w:sz w:val="22"/>
    </w:rPr>
  </w:style>
  <w:style w:type="character" w:styleId="WW8Num2z2" w:customStyle="1">
    <w:name w:val="WW8Num2z2"/>
    <w:qFormat/>
    <w:rPr>
      <w:rFonts w:ascii="Times New Roman" w:hAnsi="Times New Roman" w:cs="Times New Roman"/>
      <w:b/>
      <w:i w:val="false"/>
    </w:rPr>
  </w:style>
  <w:style w:type="character" w:styleId="WW8Num3z0" w:customStyle="1">
    <w:name w:val="WW8Num3z0"/>
    <w:qFormat/>
    <w:rPr>
      <w:rFonts w:ascii="Arial" w:hAnsi="Arial" w:cs="Times New Roman"/>
      <w:b/>
      <w:i w:val="false"/>
      <w:sz w:val="22"/>
    </w:rPr>
  </w:style>
  <w:style w:type="character" w:styleId="WW8Num3z1" w:customStyle="1">
    <w:name w:val="WW8Num3z1"/>
    <w:qFormat/>
    <w:rPr>
      <w:rFonts w:ascii="Arial" w:hAnsi="Arial" w:cs="Times New Roman"/>
      <w:b w:val="false"/>
      <w:i w:val="false"/>
      <w:sz w:val="22"/>
    </w:rPr>
  </w:style>
  <w:style w:type="character" w:styleId="WW8Num3z2" w:customStyle="1">
    <w:name w:val="WW8Num3z2"/>
    <w:qFormat/>
    <w:rPr>
      <w:rFonts w:ascii="Times New Roman" w:hAnsi="Times New Roman" w:cs="Times New Roman"/>
      <w:b/>
      <w:i w:val="false"/>
    </w:rPr>
  </w:style>
  <w:style w:type="character" w:styleId="WW8Num4z0" w:customStyle="1">
    <w:name w:val="WW8Num4z0"/>
    <w:qFormat/>
    <w:rPr>
      <w:rFonts w:ascii="Tahoma" w:hAnsi="Tahoma" w:cs="Tahoma"/>
      <w:b w:val="false"/>
      <w:i w:val="false"/>
      <w:sz w:val="22"/>
    </w:rPr>
  </w:style>
  <w:style w:type="character" w:styleId="WW8Num5z0" w:customStyle="1">
    <w:name w:val="WW8Num5z0"/>
    <w:qFormat/>
    <w:rPr>
      <w:rFonts w:ascii="Arial" w:hAnsi="Arial" w:cs="Times New Roman"/>
      <w:b/>
      <w:i w:val="false"/>
      <w:sz w:val="22"/>
    </w:rPr>
  </w:style>
  <w:style w:type="character" w:styleId="WW8Num5z1" w:customStyle="1">
    <w:name w:val="WW8Num5z1"/>
    <w:qFormat/>
    <w:rPr>
      <w:rFonts w:ascii="Arial" w:hAnsi="Arial" w:cs="Times New Roman"/>
      <w:b w:val="false"/>
      <w:i w:val="false"/>
      <w:sz w:val="22"/>
    </w:rPr>
  </w:style>
  <w:style w:type="character" w:styleId="WW8Num6z0" w:customStyle="1">
    <w:name w:val="WW8Num6z0"/>
    <w:qFormat/>
    <w:rPr>
      <w:rFonts w:ascii="Arial" w:hAnsi="Arial" w:cs="Times New Roman"/>
      <w:b/>
      <w:i w:val="false"/>
      <w:sz w:val="22"/>
    </w:rPr>
  </w:style>
  <w:style w:type="character" w:styleId="WW8Num6z1" w:customStyle="1">
    <w:name w:val="WW8Num6z1"/>
    <w:qFormat/>
    <w:rPr>
      <w:rFonts w:ascii="Arial" w:hAnsi="Arial" w:cs="Times New Roman"/>
      <w:b w:val="false"/>
      <w:i w:val="false"/>
      <w:sz w:val="22"/>
    </w:rPr>
  </w:style>
  <w:style w:type="character" w:styleId="WW8Num6z2" w:customStyle="1">
    <w:name w:val="WW8Num6z2"/>
    <w:qFormat/>
    <w:rPr>
      <w:rFonts w:ascii="Times New Roman" w:hAnsi="Times New Roman" w:cs="Times New Roman"/>
      <w:b/>
      <w:i w:val="false"/>
    </w:rPr>
  </w:style>
  <w:style w:type="character" w:styleId="WW8NumSt5z0" w:customStyle="1">
    <w:name w:val="WW8NumSt5z0"/>
    <w:qFormat/>
    <w:rPr>
      <w:rFonts w:ascii="Tahoma" w:hAnsi="Tahoma" w:cs="Tahoma"/>
      <w:b w:val="false"/>
      <w:i w:val="false"/>
      <w:sz w:val="22"/>
    </w:rPr>
  </w:style>
  <w:style w:type="character" w:styleId="Fontepargpadro1" w:customStyle="1">
    <w:name w:val="Fonte parág. padrão1"/>
    <w:qFormat/>
    <w:rPr/>
  </w:style>
  <w:style w:type="character" w:styleId="RodapChar" w:customStyle="1">
    <w:name w:val="Rodapé Char"/>
    <w:uiPriority w:val="99"/>
    <w:qFormat/>
    <w:rPr>
      <w:lang w:eastAsia="zh-CN"/>
    </w:rPr>
  </w:style>
  <w:style w:type="character" w:styleId="Ttulo3Char" w:customStyle="1">
    <w:name w:val="Título 3 Char"/>
    <w:uiPriority w:val="9"/>
    <w:qFormat/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uiPriority w:val="99"/>
    <w:semiHidden/>
    <w:qFormat/>
    <w:rPr>
      <w:lang w:eastAsia="zh-CN"/>
    </w:rPr>
  </w:style>
  <w:style w:type="character" w:styleId="AssuntodocomentrioChar" w:customStyle="1">
    <w:name w:val="Assunto do comentário Char"/>
    <w:link w:val="annotationsubject"/>
    <w:uiPriority w:val="99"/>
    <w:semiHidden/>
    <w:qFormat/>
    <w:rPr>
      <w:b/>
      <w:bCs/>
      <w:lang w:eastAsia="zh-CN"/>
    </w:rPr>
  </w:style>
  <w:style w:type="character" w:styleId="TextodebaloChar" w:customStyle="1">
    <w:name w:val="Texto de balão Char"/>
    <w:link w:val="BalloonText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tuloChar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ndiceuser" w:customStyle="1">
    <w:name w:val="Índice (user)"/>
    <w:basedOn w:val="Normal"/>
    <w:qFormat/>
    <w:pPr>
      <w:suppressLineNumbers/>
    </w:pPr>
    <w:rPr>
      <w:rFonts w:cs="Lohit Hindi"/>
    </w:rPr>
  </w:style>
  <w:style w:type="paragraph" w:styleId="Subtitle">
    <w:name w:val="Subtitle"/>
    <w:basedOn w:val="Normal"/>
    <w:next w:val="Normal"/>
    <w:link w:val="SubttuloChar"/>
    <w:uiPriority w:val="11"/>
    <w:qFormat/>
    <w:pPr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lineRule="auto" w:line="259" w:before="0" w:after="160"/>
      <w:ind w:left="72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link w:val="TextodenotaderodapChar"/>
    <w:uiPriority w:val="99"/>
    <w:semiHidden/>
    <w:unhideWhenUsed/>
    <w:pPr/>
    <w:rPr/>
  </w:style>
  <w:style w:type="paragraph" w:styleId="EndnoteText">
    <w:name w:val="endnote text"/>
    <w:basedOn w:val="Normal"/>
    <w:link w:val="TextodenotadefimChar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pPr>
      <w:tabs>
        <w:tab w:val="clear" w:pos="708"/>
        <w:tab w:val="left" w:pos="1100" w:leader="none"/>
        <w:tab w:val="right" w:pos="9213" w:leader="dot"/>
      </w:tabs>
      <w:spacing w:lineRule="auto" w:line="276" w:before="0" w:after="200"/>
    </w:pPr>
    <w:rPr>
      <w:rFonts w:ascii="Calibri" w:hAnsi="Calibri"/>
      <w:sz w:val="24"/>
      <w:szCs w:val="24"/>
      <w:lang w:eastAsia="pt-BR"/>
    </w:rPr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itle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 w:val="false"/>
      <w:spacing w:lineRule="auto" w:line="276" w:before="300" w:after="40"/>
      <w:ind w:hanging="0"/>
      <w:jc w:val="left"/>
    </w:pPr>
    <w:rPr>
      <w:rFonts w:ascii="Calibri" w:hAnsi="Calibri" w:cs="Times New Roman"/>
      <w:b w:val="false"/>
      <w:i w:val="false"/>
      <w:smallCaps/>
      <w:spacing w:val="5"/>
      <w:sz w:val="32"/>
      <w:szCs w:val="32"/>
      <w:lang w:val="en-US" w:eastAsia="en-US" w:bidi="en-US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Corpodetexto31" w:customStyle="1">
    <w:name w:val="Corpo de texto 31"/>
    <w:basedOn w:val="Normal"/>
    <w:qFormat/>
    <w:pPr>
      <w:ind w:right="-759"/>
      <w:jc w:val="both"/>
    </w:pPr>
    <w:rPr>
      <w:rFonts w:ascii="Arial" w:hAnsi="Arial" w:cs="Arial"/>
    </w:rPr>
  </w:style>
  <w:style w:type="paragraph" w:styleId="Textoembloco1" w:customStyle="1">
    <w:name w:val="Texto em bloco1"/>
    <w:basedOn w:val="Normal"/>
    <w:qFormat/>
    <w:pPr>
      <w:ind w:hanging="2127" w:left="2127" w:right="-759"/>
    </w:pPr>
    <w:rPr>
      <w:sz w:val="22"/>
    </w:rPr>
  </w:style>
  <w:style w:type="paragraph" w:styleId="DadosAutoPreenchimento" w:customStyle="1">
    <w:name w:val="Dados Auto Preenchimento"/>
    <w:basedOn w:val="Normal"/>
    <w:qFormat/>
    <w:pPr>
      <w:jc w:val="both"/>
    </w:pPr>
    <w:rPr>
      <w:rFonts w:ascii="Arial" w:hAnsi="Arial" w:cs="Arial"/>
    </w:rPr>
  </w:style>
  <w:style w:type="paragraph" w:styleId="SubtitulosNivel35" w:customStyle="1">
    <w:name w:val="Subtitulos Nivel3 (5)"/>
    <w:basedOn w:val="Normal"/>
    <w:qFormat/>
    <w:pPr>
      <w:numPr>
        <w:ilvl w:val="2"/>
        <w:numId w:val="1"/>
      </w:numPr>
      <w:spacing w:before="60" w:after="60"/>
      <w:ind w:hanging="0" w:left="1247"/>
      <w:jc w:val="both"/>
      <w:outlineLvl w:val="2"/>
    </w:pPr>
    <w:rPr>
      <w:rFonts w:ascii="Arial" w:hAnsi="Arial" w:cs="Arial"/>
      <w:sz w:val="22"/>
    </w:rPr>
  </w:style>
  <w:style w:type="paragraph" w:styleId="SubtituloNivel24" w:customStyle="1">
    <w:name w:val="Subtitulo Nivel2 (4)"/>
    <w:basedOn w:val="Normal"/>
    <w:qFormat/>
    <w:pPr>
      <w:numPr>
        <w:ilvl w:val="0"/>
        <w:numId w:val="4"/>
      </w:numPr>
      <w:tabs>
        <w:tab w:val="clear" w:pos="708"/>
        <w:tab w:val="left" w:pos="510" w:leader="none"/>
      </w:tabs>
      <w:spacing w:before="60" w:after="60"/>
      <w:jc w:val="both"/>
    </w:pPr>
    <w:rPr>
      <w:rFonts w:ascii="Arial" w:hAnsi="Arial" w:cs="Arial"/>
      <w:sz w:val="22"/>
    </w:rPr>
  </w:style>
  <w:style w:type="paragraph" w:styleId="SubtituloNivel25" w:customStyle="1">
    <w:name w:val="Subtitulo Nivel2 (5)"/>
    <w:basedOn w:val="Normal"/>
    <w:qFormat/>
    <w:pPr>
      <w:numPr>
        <w:ilvl w:val="1"/>
        <w:numId w:val="1"/>
      </w:numPr>
      <w:spacing w:before="60" w:after="60"/>
      <w:ind w:hanging="454" w:left="624"/>
      <w:jc w:val="both"/>
      <w:outlineLvl w:val="1"/>
    </w:pPr>
    <w:rPr>
      <w:rFonts w:ascii="Arial" w:hAnsi="Arial" w:cs="Arial"/>
      <w:sz w:val="22"/>
    </w:rPr>
  </w:style>
  <w:style w:type="paragraph" w:styleId="Numerada1" w:customStyle="1">
    <w:name w:val="Numerada1"/>
    <w:basedOn w:val="Normal"/>
    <w:qFormat/>
    <w:pPr>
      <w:numPr>
        <w:ilvl w:val="0"/>
        <w:numId w:val="3"/>
      </w:numPr>
    </w:pPr>
    <w:rPr/>
  </w:style>
  <w:style w:type="paragraph" w:styleId="TitulodeItem" w:customStyle="1">
    <w:name w:val="Titulo de Item"/>
    <w:basedOn w:val="Numerada1"/>
    <w:qFormat/>
    <w:pPr>
      <w:tabs>
        <w:tab w:val="clear" w:pos="708"/>
        <w:tab w:val="left" w:pos="397" w:leader="none"/>
      </w:tabs>
      <w:spacing w:lineRule="auto" w:line="360" w:before="120" w:after="120"/>
      <w:ind w:left="397"/>
      <w:jc w:val="both"/>
    </w:pPr>
    <w:rPr>
      <w:rFonts w:ascii="Arial" w:hAnsi="Arial" w:cs="Arial"/>
      <w:b/>
      <w:caps/>
      <w:sz w:val="22"/>
    </w:rPr>
  </w:style>
  <w:style w:type="paragraph" w:styleId="TextoParagrafo" w:customStyle="1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SubtitulosNivel26" w:customStyle="1">
    <w:name w:val="Subtitulos Nivel 2 (6)"/>
    <w:basedOn w:val="Normal"/>
    <w:qFormat/>
    <w:pPr>
      <w:numPr>
        <w:ilvl w:val="0"/>
        <w:numId w:val="2"/>
      </w:numPr>
      <w:spacing w:before="60" w:after="60"/>
      <w:ind w:hanging="454" w:left="624"/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qFormat/>
    <w:pPr>
      <w:spacing w:before="0" w:after="120"/>
      <w:ind w:left="283"/>
    </w:pPr>
    <w:rPr/>
  </w:style>
  <w:style w:type="paragraph" w:styleId="Recuodecorpodetexto21" w:customStyle="1">
    <w:name w:val="Recuo de corpo de texto 21"/>
    <w:basedOn w:val="Normal"/>
    <w:qFormat/>
    <w:pPr>
      <w:spacing w:lineRule="auto" w:line="480" w:before="0" w:after="120"/>
      <w:ind w:left="283"/>
    </w:pPr>
    <w:rPr/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Item-Titulo-Nivel1" w:customStyle="1">
    <w:name w:val="Item - Titulo - Nivel 1"/>
    <w:basedOn w:val="Numerada1"/>
    <w:qFormat/>
    <w:pPr>
      <w:numPr>
        <w:ilvl w:val="0"/>
        <w:numId w:val="0"/>
      </w:numPr>
      <w:spacing w:lineRule="auto" w:line="360" w:before="120" w:after="120"/>
      <w:jc w:val="both"/>
    </w:pPr>
    <w:rPr>
      <w:rFonts w:ascii="Arial" w:hAnsi="Arial" w:cs="Arial"/>
      <w:b/>
      <w:caps/>
      <w:sz w:val="22"/>
      <w:lang w:eastAsia="ar-SA"/>
    </w:rPr>
  </w:style>
  <w:style w:type="paragraph" w:styleId="SubItem5-Nivel2" w:customStyle="1">
    <w:name w:val="Sub Item (5) - Nivel 2"/>
    <w:basedOn w:val="Normal"/>
    <w:qFormat/>
    <w:pPr>
      <w:numPr>
        <w:ilvl w:val="0"/>
        <w:numId w:val="5"/>
      </w:numPr>
      <w:spacing w:before="60" w:after="60"/>
      <w:jc w:val="both"/>
    </w:pPr>
    <w:rPr>
      <w:rFonts w:ascii="Arial" w:hAnsi="Arial" w:cs="Arial"/>
      <w:sz w:val="22"/>
      <w:lang w:eastAsia="ar-SA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pPr/>
    <w:rPr/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styleId="TabelaSimples2">
    <w:name w:val="Plain Table 2"/>
    <w:basedOn w:val="Tabelanormal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b/>
      </w:rPr>
      <w:tblPr/>
      <w:tcPr>
        <w:tcBorders>
          <w:bottom w:val="single" w:color="4F81B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b/>
      </w:rPr>
      <w:tblPr/>
      <w:tcPr>
        <w:tcBorders>
          <w:bottom w:val="single" w:color="C0504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b/>
      </w:rPr>
      <w:tblPr/>
      <w:tcPr>
        <w:tcBorders>
          <w:bottom w:val="single" w:color="9BBB59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b/>
      </w:rPr>
      <w:tblPr/>
      <w:tcPr>
        <w:tcBorders>
          <w:bottom w:val="single" w:color="8064A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firstRow">
      <w:rPr>
        <w:b/>
        <w:sz w:val="22"/>
      </w:rPr>
      <w:tblPr/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  <w:shd w:val="clear" w:color="FFFFFF" w:fill="5D8AC2"/>
      </w:tcPr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/>
      </w:tcPr>
    </w:tblStylePr>
    <w:tblStylePr w:type="band1Horz">
      <w:rPr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firstRow">
      <w:rPr>
        <w:b/>
        <w:sz w:val="22"/>
      </w:rPr>
      <w:tblPr/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  <w:shd w:val="clear" w:color="FFFFFF" w:fill="D99695"/>
      </w:tcPr>
    </w:tblStylePr>
    <w:tblStylePr w:type="lastRow">
      <w:rPr>
        <w:b/>
      </w:rPr>
      <w:tblPr/>
      <w:tcPr>
        <w:tcBorders>
          <w:top w:val="single" w:color="C0504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firstRow">
      <w:rPr>
        <w:b/>
        <w:sz w:val="22"/>
      </w:rPr>
      <w:tblPr/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  <w:shd w:val="clear" w:color="FFFFFF" w:fill="9ABB59"/>
      </w:tcPr>
    </w:tblStylePr>
    <w:tblStylePr w:type="lastRow">
      <w:rPr>
        <w:b/>
      </w:rPr>
      <w:tblPr/>
      <w:tcPr>
        <w:tcBorders>
          <w:top w:val="single" w:color="9BBB59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firstRow">
      <w:rPr>
        <w:b/>
        <w:sz w:val="22"/>
      </w:rPr>
      <w:tblPr/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color="8064A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b/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b/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</w:rPr>
      <w:tblPr/>
      <w:tcPr>
        <w:tcBorders>
          <w:bottom w:val="single" w:color="4F81B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bottom w:val="single" w:color="C0504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bottom w:val="single" w:color="9BBB59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bottom w:val="single" w:color="8064A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firstRow">
      <w:rPr>
        <w:b/>
        <w:sz w:val="22"/>
      </w:rPr>
      <w:tblPr/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firstRow">
      <w:rPr>
        <w:b/>
        <w:sz w:val="22"/>
      </w:rPr>
      <w:tblPr/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firstRow">
      <w:rPr>
        <w:b/>
        <w:sz w:val="22"/>
      </w:rPr>
      <w:tblPr/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firstRow">
      <w:rPr>
        <w:b/>
        <w:sz w:val="22"/>
      </w:rPr>
      <w:tblPr/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firstRow">
      <w:rPr>
        <w:b/>
        <w:sz w:val="22"/>
      </w:rPr>
      <w:tblPr/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firstRow">
      <w:rPr>
        <w:b/>
        <w:sz w:val="22"/>
      </w:rPr>
      <w:tblPr/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firstRow">
      <w:rPr>
        <w:b/>
        <w:sz w:val="22"/>
      </w:rPr>
      <w:tblPr/>
      <w:tcPr>
        <w:shd w:val="clear" w:color="FFFFFF" w:fill="D9969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sz="4" w:space="0"/>
          <w:right w:val="single" w:color="C0504D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sz="4" w:space="0"/>
          <w:bottom w:val="single" w:color="C0504D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sz="4" w:space="0"/>
          <w:right w:val="single" w:color="9BBB59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sz="4" w:space="0"/>
          <w:bottom w:val="single" w:color="9BBB59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sz="4" w:space="0"/>
          <w:right w:val="single" w:color="8064A2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sz="4" w:space="0"/>
          <w:bottom w:val="single" w:color="8064A2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firstRow">
      <w:rPr>
        <w:b/>
        <w:sz w:val="22"/>
      </w:rPr>
      <w:tblPr/>
      <w:tcPr>
        <w:shd w:val="clear" w:color="FFFFFF" w:fill="92CC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sz="4" w:space="0"/>
          <w:right w:val="single" w:color="4BACC6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sz="4" w:space="0"/>
          <w:bottom w:val="single" w:color="4BACC6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firstRow">
      <w:rPr>
        <w:b/>
        <w:sz w:val="22"/>
      </w:rPr>
      <w:tblPr/>
      <w:tcPr>
        <w:shd w:val="clear" w:color="FFFFFF" w:fill="FAC0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sz="4" w:space="0"/>
          <w:right w:val="single" w:color="F7964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sz="4" w:space="0"/>
          <w:bottom w:val="single" w:color="F79646" w:sz="4" w:space="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FFFFFF" w:sz="12" w:space="0"/>
        </w:tcBorders>
        <w:shd w:val="clear" w:color="FFFFF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blStylePr w:type="firstRow">
      <w:rPr>
        <w:b/>
        <w:sz w:val="22"/>
      </w:rPr>
      <w:tblPr/>
      <w:tcPr>
        <w:tcBorders>
          <w:top w:val="single" w:color="4F81BD" w:sz="32" w:space="0"/>
          <w:bottom w:val="single" w:color="FFFFFF" w:sz="12" w:space="0"/>
        </w:tcBorders>
        <w:shd w:val="clear" w:color="FFFFFF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4F81BD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4F81BD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blStylePr w:type="firstRow">
      <w:rPr>
        <w:b/>
        <w:sz w:val="22"/>
      </w:rPr>
      <w:tblPr/>
      <w:tcPr>
        <w:tcBorders>
          <w:top w:val="single" w:color="C0504D" w:sz="32" w:space="0"/>
          <w:bottom w:val="single" w:color="FFFFFF" w:sz="12" w:space="0"/>
        </w:tcBorders>
        <w:shd w:val="clear" w:color="FFFFFF" w:fill="D99695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C0504D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0504D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D9969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D9969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blStylePr w:type="firstRow">
      <w:rPr>
        <w:b/>
        <w:sz w:val="22"/>
      </w:rPr>
      <w:tblPr/>
      <w:tcPr>
        <w:tcBorders>
          <w:top w:val="single" w:color="9BBB59" w:sz="32" w:space="0"/>
          <w:bottom w:val="single" w:color="FFFFFF" w:sz="12" w:space="0"/>
        </w:tcBorders>
        <w:shd w:val="clear" w:color="FFFFFF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9BBB59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BBB59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C3D69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C3D69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blStylePr w:type="firstRow">
      <w:rPr>
        <w:b/>
        <w:sz w:val="22"/>
      </w:rPr>
      <w:tblPr/>
      <w:tcPr>
        <w:tcBorders>
          <w:top w:val="single" w:color="8064A2" w:sz="32" w:space="0"/>
          <w:bottom w:val="single" w:color="FFFFFF" w:sz="12" w:space="0"/>
        </w:tcBorders>
        <w:shd w:val="clear" w:color="FFFFFF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8064A2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8064A2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B2A1C6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B2A1C6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blStylePr w:type="firstRow">
      <w:rPr>
        <w:b/>
        <w:sz w:val="22"/>
      </w:rPr>
      <w:tblPr/>
      <w:tcPr>
        <w:tcBorders>
          <w:top w:val="single" w:color="4BACC6" w:sz="32" w:space="0"/>
          <w:bottom w:val="single" w:color="FFFFFF" w:sz="12" w:space="0"/>
        </w:tcBorders>
        <w:shd w:val="clear" w:color="FFFFFF" w:fill="92CC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4BACC6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BACC6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92CCDC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92CCDC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blStylePr w:type="firstRow">
      <w:rPr>
        <w:b/>
        <w:sz w:val="22"/>
      </w:rPr>
      <w:tblPr/>
      <w:tcPr>
        <w:tcBorders>
          <w:top w:val="single" w:color="F79646" w:sz="32" w:space="0"/>
          <w:bottom w:val="single" w:color="FFFFFF" w:sz="12" w:space="0"/>
        </w:tcBorders>
        <w:shd w:val="clear" w:color="FFFFFF" w:fill="FAC0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F79646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79646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FAC090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FAC090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firstRow">
      <w:rPr>
        <w:b/>
      </w:rPr>
      <w:tblPr/>
      <w:tcPr>
        <w:tcBorders>
          <w:bottom w:val="single" w:color="4F81BD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firstRow">
      <w:rPr>
        <w:b/>
      </w:rPr>
      <w:tblPr/>
      <w:tcPr>
        <w:tcBorders>
          <w:bottom w:val="single" w:color="C0504D" w:sz="4" w:space="0"/>
        </w:tcBorders>
      </w:tcPr>
    </w:tblStylePr>
    <w:tblStylePr w:type="lastRow">
      <w:rPr>
        <w:b/>
      </w:rPr>
      <w:tblPr/>
      <w:tcPr>
        <w:tcBorders>
          <w:top w:val="single" w:color="C0504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firstRow">
      <w:rPr>
        <w:b/>
      </w:rPr>
      <w:tblPr/>
      <w:tcPr>
        <w:tcBorders>
          <w:bottom w:val="single" w:color="9BBB59" w:sz="4" w:space="0"/>
        </w:tcBorders>
      </w:tcPr>
    </w:tblStylePr>
    <w:tblStylePr w:type="lastRow">
      <w:rPr>
        <w:b/>
      </w:rPr>
      <w:tblPr/>
      <w:tcPr>
        <w:tcBorders>
          <w:top w:val="single" w:color="9BBB59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firstRow">
      <w:rPr>
        <w:b/>
      </w:rPr>
      <w:tblPr/>
      <w:tcPr>
        <w:tcBorders>
          <w:bottom w:val="single" w:color="8064A2" w:sz="4" w:space="0"/>
        </w:tcBorders>
      </w:tcPr>
    </w:tblStylePr>
    <w:tblStylePr w:type="lastRow">
      <w:rPr>
        <w:b/>
      </w:rPr>
      <w:tblPr/>
      <w:tcPr>
        <w:tcBorders>
          <w:top w:val="single" w:color="8064A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firstRow">
      <w:rPr>
        <w:b/>
      </w:rPr>
      <w:tblPr/>
      <w:tcPr>
        <w:tcBorders>
          <w:bottom w:val="single" w:color="4BACC6" w:sz="4" w:space="0"/>
        </w:tcBorders>
      </w:tcPr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firstRow">
      <w:rPr>
        <w:b/>
      </w:rPr>
      <w:tblPr/>
      <w:tcPr>
        <w:tcBorders>
          <w:bottom w:val="single" w:color="F79646" w:sz="4" w:space="0"/>
        </w:tcBorders>
      </w:tcPr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  <w:tblStylePr w:type="band2Horz">
      <w:rPr>
        <w:sz w:val="22"/>
      </w:rPr>
      <w:tblPr/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basedOn w:val="Tabela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Tabela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Tabela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Tabela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Tabela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Tabela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Tabela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Tabelanormal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Tabelanormal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Tabelanormal"/>
    <w:uiPriority w:val="99"/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Tabelanormal"/>
    <w:uiPriority w:val="99"/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Tabelanormal"/>
    <w:uiPriority w:val="99"/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Tabelanormal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Tabelanormal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sz w:val="22"/>
      </w:rPr>
      <w:tblPr/>
      <w:tcPr>
        <w:tcBorders>
          <w:bottom w:val="single" w:color="C0504D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sz w:val="22"/>
      </w:rPr>
      <w:tblPr/>
      <w:tcPr>
        <w:tcBorders>
          <w:bottom w:val="single" w:color="9BBB59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sz w:val="22"/>
      </w:rPr>
      <w:tblPr/>
      <w:tcPr>
        <w:tcBorders>
          <w:bottom w:val="single" w:color="8064A2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sz w:val="22"/>
      </w:rPr>
      <w:tblPr/>
      <w:tcPr>
        <w:tcBorders>
          <w:bottom w:val="single" w:color="4BACC6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sz w:val="22"/>
      </w:rPr>
      <w:tblPr/>
      <w:tcPr>
        <w:tcBorders>
          <w:bottom w:val="single" w:color="F7964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LibreOffice/25.8.4.2$Windows_X86_64 LibreOffice_project/290daaa01b999472f0c7a3890eb6a550fd74c6df</Application>
  <AppVersion>15.0000</AppVersion>
  <Pages>7</Pages>
  <Words>1263</Words>
  <Characters>7438</Characters>
  <CharactersWithSpaces>8744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2017-11-09T23:33:00Z</dcterms:created>
  <dc:creator>marcia</dc:creator>
  <dc:description/>
  <dc:language>pt-BR</dc:language>
  <cp:lastModifiedBy/>
  <dcterms:modified xsi:type="dcterms:W3CDTF">2026-03-23T16:22:57Z</dcterms:modified>
  <cp:revision>18</cp:revision>
  <dc:subject/>
  <dc:title>EXTRAÇÃO DE MINERAL</dc:title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